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deuteronomy-17"/>
    <w:p>
      <w:pPr>
        <w:pStyle w:val="Heading1"/>
      </w:pPr>
      <w:r>
        <w:t xml:space="preserve">Homiletics Analysis: Deuteronomy 17</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Deuteronomy 17 addresses three distinct but thematically related concerns in Israel’s covenant life: the proper administration of justice in capital cases (vv. 1–7), the establishment of a supreme court for difficult cases (vv. 8–13), and the law of the king (vv. 14–20). The chapter opens with a prohibition against offering blemished animals in sacrifice (v. 1), then moves to the procedure for prosecuting idolatry — requiring investigation, witness corroboration, and community participation in execution (vv. 2–7). The central section establishes a judicial hierarchy: when local judges cannot resolve a case, the matter is escalated to a central tribunal of priests, Levites, and a designated judge whose verdict is binding under penalty of death (vv. 8–13). The chapter closes with the extended law of the king (vv. 14–20): Israel may appoint a king, but he must be a brother Israelite chosen by the LORD, must not multiply horses (military power), wives (political alliances), or gold and silver (personal wealth), and must write his own copy of the law, read it daily, and govern in submission to it throughout his life.</w:t>
      </w:r>
    </w:p>
    <w:p>
      <w:pPr>
        <w:pStyle w:val="BodyText"/>
      </w:pPr>
      <w:r>
        <w:rPr>
          <w:b/>
          <w:bCs/>
        </w:rPr>
        <w:t xml:space="preserve">This Text — Intent:</w:t>
      </w:r>
    </w:p>
    <w:p>
      <w:pPr>
        <w:pStyle w:val="BodyText"/>
      </w:pPr>
      <w:r>
        <w:t xml:space="preserve">God is establishing the institutional and personal architecture of a covenant nation governed by His Word rather than by human autonomy, military power, or royal self-aggrandizement. The chapter does not merely regulate worship and governance — it makes a claim about the nature of authority itself: all legitimate authority in Israel is derivative, accountable, and bounded by the covenant. The LORD is Israel’s true King; every other authority — priest, judge, or human king — exists only to administer His reign, not to replace it. The intent is to form a people who recognize that no human institution, however elevated, stands above the Word of God, and to call every person in authority — and every person under authority — to the humility that flows from this recognition.</w:t>
      </w:r>
    </w:p>
    <w:p>
      <w:r>
        <w:pict>
          <v:rect style="width:0;height:1.5pt" o:hralign="center" o:hrstd="t" o:hr="t"/>
        </w:pict>
      </w:r>
    </w:p>
    <w:p>
      <w:pPr>
        <w:pStyle w:val="FirstParagraph"/>
      </w:pPr>
      <w:r>
        <w:rPr>
          <w:b/>
          <w:bCs/>
        </w:rPr>
        <w:t xml:space="preserve">Subject Sentence:</w:t>
      </w:r>
      <w:r>
        <w:t xml:space="preserve"> </w:t>
      </w:r>
      <w:r>
        <w:t xml:space="preserve">All authority in Israel is derivative, bounded, and answerable to the LORD alone.</w:t>
      </w:r>
    </w:p>
    <w:p>
      <w:r>
        <w:pict>
          <v:rect style="width:0;height:1.5pt" o:hralign="center" o:hrstd="t" o:hr="t"/>
        </w:pict>
      </w:r>
    </w:p>
    <w:p>
      <w:pPr>
        <w:pStyle w:val="FirstParagraph"/>
      </w:pPr>
      <w:r>
        <w:rPr>
          <w:b/>
          <w:bCs/>
        </w:rPr>
        <w:t xml:space="preserve">Primary Claim:</w:t>
      </w:r>
      <w:r>
        <w:t xml:space="preserve"> </w:t>
      </w:r>
      <w:r>
        <w:t xml:space="preserve">God is calling His people — and every leader among them — to structure all of life, all worship, and all governance under the authority of His Word, because no human institution, title, or power is ever the final word; He is.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On the blemished sacrifice prohibition (v. 1) and its relationship to the rest of the chapter:</w:t>
      </w:r>
      <w:r>
        <w:t xml:space="preserve"> </w:t>
      </w:r>
      <w:r>
        <w:t xml:space="preserve">Some read verse 1 as an isolated appendix to chapter 16’s festival laws, disconnected from what follows. A more careful reading treats it as a thematic gateway: the God who will not accept a flawed offering is the same God who will not accept flawed justice or flawed kingship. The prohibition establishes the standard of integrity that runs through the entire chapter — what is brought before the LORD must be whole, whether animal, legal process, or king. This reading is preferred because it accounts for the chapter’s literary unity rather than treating verse 1 as an orphaned fragment.</w:t>
      </w:r>
    </w:p>
    <w:p>
      <w:pPr>
        <w:pStyle w:val="BodyText"/>
      </w:pPr>
      <w:r>
        <w:rPr>
          <w:b/>
          <w:bCs/>
        </w:rPr>
        <w:t xml:space="preserve">On the judicial tribunal (vv. 8–13) — Mosaic polity versus general principle:</w:t>
      </w:r>
      <w:r>
        <w:t xml:space="preserve"> </w:t>
      </w:r>
      <w:r>
        <w:t xml:space="preserve">Dispensational and some Baptist interpreters read this section as strictly applicable to Israel’s theocratic polity and therefore offering no direct institutional principle for the church or contemporary governance. The Reformed tradition does not straightforwardly transfer the Mosaic judicial law to the church or nation-state, but it does recognize that the underlying principle — that difficult cases require a recognized community authority to render binding judgment, and that contempt for that authority is a serious offense — reflects creational wisdom about the necessity of institutional accountability. Calvin and the Westminster divines drew on this passage, among others, to ground the authority of church assemblies. The principle is transferable even where the specific polity is not.</w:t>
      </w:r>
    </w:p>
    <w:p>
      <w:pPr>
        <w:pStyle w:val="BodyText"/>
      </w:pPr>
      <w:r>
        <w:rPr>
          <w:b/>
          <w:bCs/>
        </w:rPr>
        <w:t xml:space="preserve">On the law of the king (vv. 14–20) — anticipatory versus prescriptive:</w:t>
      </w:r>
      <w:r>
        <w:t xml:space="preserve"> </w:t>
      </w:r>
      <w:r>
        <w:t xml:space="preserve">Some interpreters treat this passage as primarily anticipatory and negative — a concession to future Israelite rebellion that essentially predicts the failure of kingship from the start (reading alongside 1 Samuel 8). While the passage does anticipate the request for a king, it is not merely a reluctant concession — it is a genuine ordering of kingship under covenant terms. God does not merely tolerate future kingship; He regulates it, which implies it has legitimate form. The Reformed reading holds both: kingship was always part of God’s design for Israel (see Genesis 49:10; Numbers 24:17), but it was always intended to be derivative and Word-centered, not autonomous and self-aggrandizing. The failures of Israel’s kings are failures of this specific standard, not merely symptoms of the institution’s inherent illegitimacy.</w:t>
      </w:r>
    </w:p>
    <w:p>
      <w:pPr>
        <w:pStyle w:val="BodyText"/>
      </w:pPr>
      <w:r>
        <w:rPr>
          <w:b/>
          <w:bCs/>
        </w:rPr>
        <w:t xml:space="preserve">On the king’s self-copying of the law (v. 18) — Septuagint and</w:t>
      </w:r>
      <w:r>
        <w:rPr>
          <w:b/>
          <w:bCs/>
        </w:rPr>
        <w:t xml:space="preserve"> </w:t>
      </w:r>
      <w:r>
        <w:rPr>
          <w:b/>
          <w:bCs/>
        </w:rPr>
        <w:t xml:space="preserve">“Deuteronomy”</w:t>
      </w:r>
      <w:r>
        <w:rPr>
          <w:b/>
          <w:bCs/>
        </w:rPr>
        <w:t xml:space="preserve">:</w:t>
      </w:r>
      <w:r>
        <w:t xml:space="preserve"> </w:t>
      </w:r>
      <w:r>
        <w:t xml:space="preserve">The Greek translation of verse 18 renders</w:t>
      </w:r>
      <w:r>
        <w:t xml:space="preserve"> </w:t>
      </w:r>
      <w:r>
        <w:rPr>
          <w:i/>
          <w:iCs/>
        </w:rPr>
        <w:t xml:space="preserve">mishneh hattorah</w:t>
      </w:r>
      <w:r>
        <w:t xml:space="preserve"> </w:t>
      </w:r>
      <w:r>
        <w:t xml:space="preserve">(</w:t>
      </w:r>
      <w:r>
        <w:t xml:space="preserve">“copy of this law”</w:t>
      </w:r>
      <w:r>
        <w:t xml:space="preserve">) as</w:t>
      </w:r>
      <w:r>
        <w:t xml:space="preserve"> </w:t>
      </w:r>
      <w:r>
        <w:rPr>
          <w:i/>
          <w:iCs/>
        </w:rPr>
        <w:t xml:space="preserve">to deuteronomion touto</w:t>
      </w:r>
      <w:r>
        <w:t xml:space="preserve"> </w:t>
      </w:r>
      <w:r>
        <w:t xml:space="preserve">(</w:t>
      </w:r>
      <w:r>
        <w:t xml:space="preserve">“this second law”</w:t>
      </w:r>
      <w:r>
        <w:t xml:space="preserve">), giving the book its Greek name. Some scholars treat this as a Septuagintal interpretive gloss rather than a translation. The significant point for exposition is not the etymology but the act itself: the king is required to write the law in his own hand, not merely consult a scroll. The physical act of transcription disciplines attention and internalization. This is not a bureaucratic requirement — it is a spiritual discipline for the most powerful person in the nation.</w:t>
      </w:r>
    </w:p>
    <w:p>
      <w:pPr>
        <w:pStyle w:val="BodyText"/>
      </w:pPr>
      <w:r>
        <w:rPr>
          <w:b/>
          <w:bCs/>
        </w:rPr>
        <w:t xml:space="preserve">On the</w:t>
      </w:r>
      <w:r>
        <w:rPr>
          <w:b/>
          <w:bCs/>
        </w:rPr>
        <w:t xml:space="preserve"> </w:t>
      </w:r>
      <w:r>
        <w:rPr>
          <w:b/>
          <w:bCs/>
        </w:rPr>
        <w:t xml:space="preserve">“not multiplying horses, wives, or gold”</w:t>
      </w:r>
      <w:r>
        <w:rPr>
          <w:b/>
          <w:bCs/>
        </w:rPr>
        <w:t xml:space="preserve"> </w:t>
      </w:r>
      <w:r>
        <w:rPr>
          <w:b/>
          <w:bCs/>
        </w:rPr>
        <w:t xml:space="preserve">prohibitions and Solomon:</w:t>
      </w:r>
      <w:r>
        <w:t xml:space="preserve"> </w:t>
      </w:r>
      <w:r>
        <w:t xml:space="preserve">The passage functions typologically in canonical context: Solomon’s multiplication of horses (1 Kings 10:26), wives (1 Kings 11:3), and gold (1 Kings 10:14–22) is a point-by-point violation of Deuteronomy 17:16–17. This is not coincidental — the narrator of 1 Kings is clearly invoking Deuteronomy 17 as the measuring rod against which Solomon’s reign is judged and found catastrophically wanting. Any exposition of this passage that misses this canonical function has not yet read the passage fully.</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49:10</w:t>
      </w:r>
      <w:r>
        <w:t xml:space="preserve"> </w:t>
      </w:r>
      <w:r>
        <w:t xml:space="preserve">—</w:t>
      </w:r>
      <w:r>
        <w:t xml:space="preserve"> </w:t>
      </w:r>
      <w:r>
        <w:t xml:space="preserve">“The scepter shall not depart from Judah”</w:t>
      </w:r>
      <w:r>
        <w:t xml:space="preserve"> </w:t>
      </w:r>
      <w:r>
        <w:t xml:space="preserve">— establishes that kingship in Israel was always part of God’s redemptive design, making Deuteronomy 17’s law of the king a regulation of something anticipated, not a grudging concession.</w:t>
      </w:r>
    </w:p>
    <w:p>
      <w:pPr>
        <w:numPr>
          <w:ilvl w:val="0"/>
          <w:numId w:val="1001"/>
        </w:numPr>
      </w:pPr>
      <w:r>
        <w:rPr>
          <w:b/>
          <w:bCs/>
        </w:rPr>
        <w:t xml:space="preserve">1 Samuel 8:4–22</w:t>
      </w:r>
      <w:r>
        <w:t xml:space="preserve"> </w:t>
      </w:r>
      <w:r>
        <w:t xml:space="preserve">— Israel’s request for a king</w:t>
      </w:r>
      <w:r>
        <w:t xml:space="preserve"> </w:t>
      </w:r>
      <w:r>
        <w:t xml:space="preserve">“like the nations”</w:t>
      </w:r>
      <w:r>
        <w:t xml:space="preserve"> </w:t>
      </w:r>
      <w:r>
        <w:t xml:space="preserve">is the very pattern Deuteronomy 17:14 anticipates; the LORD’s response distinguishes between the people’s idolatrous motivation (rejection of divine kingship) and the institution itself, which was permissible when rightly ordered.</w:t>
      </w:r>
    </w:p>
    <w:p>
      <w:pPr>
        <w:numPr>
          <w:ilvl w:val="0"/>
          <w:numId w:val="1001"/>
        </w:numPr>
      </w:pPr>
      <w:r>
        <w:rPr>
          <w:b/>
          <w:bCs/>
        </w:rPr>
        <w:t xml:space="preserve">1 Kings 10–11</w:t>
      </w:r>
      <w:r>
        <w:t xml:space="preserve"> </w:t>
      </w:r>
      <w:r>
        <w:t xml:space="preserve">— Solomon’s systematic violation of every prohibition in Deuteronomy 17:16–17 — horses, wives, gold — demonstrates the consequences of royal autonomy and provides the canonical commentary on what happens when the king of the kingdom fails to be a kingdom-of-God man.</w:t>
      </w:r>
    </w:p>
    <w:p>
      <w:pPr>
        <w:numPr>
          <w:ilvl w:val="0"/>
          <w:numId w:val="1001"/>
        </w:numPr>
      </w:pPr>
      <w:r>
        <w:rPr>
          <w:b/>
          <w:bCs/>
        </w:rPr>
        <w:t xml:space="preserve">Psalm 2</w:t>
      </w:r>
      <w:r>
        <w:t xml:space="preserve"> </w:t>
      </w:r>
      <w:r>
        <w:t xml:space="preserve">— The LORD installs His king on Zion and demands submission of all earthly rulers to His anointed; the derivative authority of human kingship finds its fullest expression in the Davidic covenant and its ultimate fulfillment in Christ.</w:t>
      </w:r>
    </w:p>
    <w:p>
      <w:pPr>
        <w:numPr>
          <w:ilvl w:val="0"/>
          <w:numId w:val="1001"/>
        </w:numPr>
      </w:pPr>
      <w:r>
        <w:rPr>
          <w:b/>
          <w:bCs/>
        </w:rPr>
        <w:t xml:space="preserve">Matthew 4:1–11</w:t>
      </w:r>
      <w:r>
        <w:t xml:space="preserve"> </w:t>
      </w:r>
      <w:r>
        <w:t xml:space="preserve">— Jesus, as the true and ultimate Israelite King, faces temptation at each point corresponding to Deuteronomy 17’s prohibited accumulations — kingdoms and power (horses/military might), worship offered wrongly (blemished sacrifice), and the possessions of the world (gold and silver) — and refuses them all, fulfilling what every Israelite king failed to do.</w:t>
      </w:r>
    </w:p>
    <w:p>
      <w:r>
        <w:pict>
          <v:rect style="width:0;height:1.5pt" o:hralign="center" o:hrstd="t" o:hr="t"/>
        </w:pict>
      </w:r>
    </w:p>
    <w:p>
      <w:pPr>
        <w:pStyle w:val="FirstParagraph"/>
      </w:pPr>
      <w:r>
        <w:rPr>
          <w:b/>
          <w:bCs/>
        </w:rPr>
        <w:t xml:space="preserve">Aim:</w:t>
      </w:r>
      <w:r>
        <w:t xml:space="preserve"> </w:t>
      </w:r>
      <w:r>
        <w:t xml:space="preserve">To demonstrate that every sphere of life — worship, law, governance, leadership — is placed by God under the authority of His Word, and to call readers to the institutional humility and personal accountability that flows from taking this seriously.</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Prohibition against offering blemished animals — any defect is an abomination to the LORD</w:t>
            </w:r>
          </w:p>
        </w:tc>
        <w:tc>
          <w:tcPr/>
          <w:p>
            <w:pPr>
              <w:pStyle w:val="Compact"/>
            </w:pPr>
            <w:r>
              <w:t xml:space="preserve">Gateway principle: integrity before the LORD in all that is brought to Him; sets the standard for the whole chapter</w:t>
            </w:r>
          </w:p>
        </w:tc>
      </w:tr>
      <w:tr>
        <w:tc>
          <w:tcPr/>
          <w:p>
            <w:pPr>
              <w:pStyle w:val="Compact"/>
            </w:pPr>
            <w:r>
              <w:t xml:space="preserve">2–5</w:t>
            </w:r>
          </w:p>
        </w:tc>
        <w:tc>
          <w:tcPr/>
          <w:p>
            <w:pPr>
              <w:pStyle w:val="Compact"/>
            </w:pPr>
            <w:r>
              <w:t xml:space="preserve">Procedure for prosecuting idolatry — investigation required, two or three witnesses required, community participates in execution</w:t>
            </w:r>
          </w:p>
        </w:tc>
        <w:tc>
          <w:tcPr/>
          <w:p>
            <w:pPr>
              <w:pStyle w:val="Compact"/>
            </w:pPr>
            <w:r>
              <w:t xml:space="preserve">The judicial process must match the seriousness of the crime; not hearsay, not mob action — deliberate, witnessed, communal</w:t>
            </w:r>
          </w:p>
        </w:tc>
      </w:tr>
      <w:tr>
        <w:tc>
          <w:tcPr/>
          <w:p>
            <w:pPr>
              <w:pStyle w:val="Compact"/>
            </w:pPr>
            <w:r>
              <w:t xml:space="preserve">6–7</w:t>
            </w:r>
          </w:p>
        </w:tc>
        <w:tc>
          <w:tcPr/>
          <w:p>
            <w:pPr>
              <w:pStyle w:val="Compact"/>
            </w:pPr>
            <w:r>
              <w:t xml:space="preserve">Witness rules for capital cases — no execution on one witness; witnesses cast first stone</w:t>
            </w:r>
          </w:p>
        </w:tc>
        <w:tc>
          <w:tcPr/>
          <w:p>
            <w:pPr>
              <w:pStyle w:val="Compact"/>
            </w:pPr>
            <w:r>
              <w:t xml:space="preserve">The hand of the witnesses goes first — bearing witness carries moral responsibility, not just informational function</w:t>
            </w:r>
          </w:p>
        </w:tc>
      </w:tr>
      <w:tr>
        <w:tc>
          <w:tcPr/>
          <w:p>
            <w:pPr>
              <w:pStyle w:val="Compact"/>
            </w:pPr>
            <w:r>
              <w:t xml:space="preserve">8–9</w:t>
            </w:r>
          </w:p>
        </w:tc>
        <w:tc>
          <w:tcPr/>
          <w:p>
            <w:pPr>
              <w:pStyle w:val="Compact"/>
            </w:pPr>
            <w:r>
              <w:t xml:space="preserve">Escalation principle — cases too difficult for local judges go to the central tribunal: priests, Levites, and the judge at the central sanctuary</w:t>
            </w:r>
          </w:p>
        </w:tc>
        <w:tc>
          <w:tcPr/>
          <w:p>
            <w:pPr>
              <w:pStyle w:val="Compact"/>
            </w:pPr>
            <w:r>
              <w:t xml:space="preserve">Judicial hierarchy exists not to concentrate power but to ensure difficult cases receive adequate wisdom</w:t>
            </w:r>
          </w:p>
        </w:tc>
      </w:tr>
      <w:tr>
        <w:tc>
          <w:tcPr/>
          <w:p>
            <w:pPr>
              <w:pStyle w:val="Compact"/>
            </w:pPr>
            <w:r>
              <w:t xml:space="preserve">10–11</w:t>
            </w:r>
          </w:p>
        </w:tc>
        <w:tc>
          <w:tcPr/>
          <w:p>
            <w:pPr>
              <w:pStyle w:val="Compact"/>
            </w:pPr>
            <w:r>
              <w:t xml:space="preserve">Binding authority of the tribunal’s verdict — the people must act according to the instruction given; they must not turn aside</w:t>
            </w:r>
          </w:p>
        </w:tc>
        <w:tc>
          <w:tcPr/>
          <w:p>
            <w:pPr>
              <w:pStyle w:val="Compact"/>
            </w:pPr>
            <w:r>
              <w:t xml:space="preserve">Submission to constituted authority is itself a covenant obligation, not merely a practical arrangement</w:t>
            </w:r>
          </w:p>
        </w:tc>
      </w:tr>
      <w:tr>
        <w:tc>
          <w:tcPr/>
          <w:p>
            <w:pPr>
              <w:pStyle w:val="Compact"/>
            </w:pPr>
            <w:r>
              <w:t xml:space="preserve">12–13</w:t>
            </w:r>
          </w:p>
        </w:tc>
        <w:tc>
          <w:tcPr/>
          <w:p>
            <w:pPr>
              <w:pStyle w:val="Compact"/>
            </w:pPr>
            <w:r>
              <w:t xml:space="preserve">Death penalty for contempt of court — the man who acts presumptuously against the judge or priest shall die; the purpose is deterrence:</w:t>
            </w:r>
            <w:r>
              <w:t xml:space="preserve"> </w:t>
            </w:r>
            <w:r>
              <w:t xml:space="preserve">“all the people will hear and be afraid”</w:t>
            </w:r>
          </w:p>
        </w:tc>
        <w:tc>
          <w:tcPr/>
          <w:p>
            <w:pPr>
              <w:pStyle w:val="Compact"/>
            </w:pPr>
            <w:r>
              <w:t xml:space="preserve">The seriousness of institutional authority is underwritten by covenant sanction; contempt for the court is contempt for the LORD’s governance</w:t>
            </w:r>
          </w:p>
        </w:tc>
      </w:tr>
      <w:tr>
        <w:tc>
          <w:tcPr/>
          <w:p>
            <w:pPr>
              <w:pStyle w:val="Compact"/>
            </w:pPr>
            <w:r>
              <w:t xml:space="preserve">14</w:t>
            </w:r>
          </w:p>
        </w:tc>
        <w:tc>
          <w:tcPr/>
          <w:p>
            <w:pPr>
              <w:pStyle w:val="Compact"/>
            </w:pPr>
            <w:r>
              <w:t xml:space="preserve">Anticipation of the request for a king —</w:t>
            </w:r>
            <w:r>
              <w:t xml:space="preserve"> </w:t>
            </w:r>
            <w:r>
              <w:t xml:space="preserve">“when you come to the land… and you say,</w:t>
            </w:r>
            <w:r>
              <w:t xml:space="preserve"> </w:t>
            </w:r>
            <w:r>
              <w:t xml:space="preserve">‘I will set a king over me, like all the nations around me’</w:t>
            </w:r>
            <w:r>
              <w:t xml:space="preserve">”</w:t>
            </w:r>
          </w:p>
        </w:tc>
        <w:tc>
          <w:tcPr/>
          <w:p>
            <w:pPr>
              <w:pStyle w:val="Compact"/>
            </w:pPr>
            <w:r>
              <w:t xml:space="preserve">The form of the request is already problematic:</w:t>
            </w:r>
            <w:r>
              <w:t xml:space="preserve"> </w:t>
            </w:r>
            <w:r>
              <w:t xml:space="preserve">“like the nations”</w:t>
            </w:r>
            <w:r>
              <w:t xml:space="preserve"> </w:t>
            </w:r>
            <w:r>
              <w:t xml:space="preserve">— the standard is wrong from the start</w:t>
            </w:r>
          </w:p>
        </w:tc>
      </w:tr>
      <w:tr>
        <w:tc>
          <w:tcPr/>
          <w:p>
            <w:pPr>
              <w:pStyle w:val="Compact"/>
            </w:pPr>
            <w:r>
              <w:t xml:space="preserve">15</w:t>
            </w:r>
          </w:p>
        </w:tc>
        <w:tc>
          <w:tcPr/>
          <w:p>
            <w:pPr>
              <w:pStyle w:val="Compact"/>
            </w:pPr>
            <w:r>
              <w:t xml:space="preserve">The king must be the LORD’s choice and an Israelite brother — no foreigner</w:t>
            </w:r>
          </w:p>
        </w:tc>
        <w:tc>
          <w:tcPr/>
          <w:p>
            <w:pPr>
              <w:pStyle w:val="Compact"/>
            </w:pPr>
            <w:r>
              <w:t xml:space="preserve">The king is not Israel’s choice but the LORD’s;</w:t>
            </w:r>
            <w:r>
              <w:t xml:space="preserve"> </w:t>
            </w:r>
            <w:r>
              <w:t xml:space="preserve">“brother”</w:t>
            </w:r>
            <w:r>
              <w:t xml:space="preserve"> </w:t>
            </w:r>
            <w:r>
              <w:t xml:space="preserve">signals covenant solidarity, not ethnic exclusivism</w:t>
            </w:r>
          </w:p>
        </w:tc>
      </w:tr>
      <w:tr>
        <w:tc>
          <w:tcPr/>
          <w:p>
            <w:pPr>
              <w:pStyle w:val="Compact"/>
            </w:pPr>
            <w:r>
              <w:t xml:space="preserve">16</w:t>
            </w:r>
          </w:p>
        </w:tc>
        <w:tc>
          <w:tcPr/>
          <w:p>
            <w:pPr>
              <w:pStyle w:val="Compact"/>
            </w:pPr>
            <w:r>
              <w:t xml:space="preserve">King must not multiply horses or return the people to Egypt to acquire them</w:t>
            </w:r>
          </w:p>
        </w:tc>
        <w:tc>
          <w:tcPr/>
          <w:p>
            <w:pPr>
              <w:pStyle w:val="Compact"/>
            </w:pPr>
            <w:r>
              <w:t xml:space="preserve">Horses = military self-reliance; Egypt = the wrong source; the prohibition forbids building a military-industrial power base</w:t>
            </w:r>
          </w:p>
        </w:tc>
      </w:tr>
      <w:tr>
        <w:tc>
          <w:tcPr/>
          <w:p>
            <w:pPr>
              <w:pStyle w:val="Compact"/>
            </w:pPr>
            <w:r>
              <w:t xml:space="preserve">17a</w:t>
            </w:r>
          </w:p>
        </w:tc>
        <w:tc>
          <w:tcPr/>
          <w:p>
            <w:pPr>
              <w:pStyle w:val="Compact"/>
            </w:pPr>
            <w:r>
              <w:t xml:space="preserve">King must not multiply wives —</w:t>
            </w:r>
            <w:r>
              <w:t xml:space="preserve"> </w:t>
            </w:r>
            <w:r>
              <w:t xml:space="preserve">“lest his heart turn away”</w:t>
            </w:r>
          </w:p>
        </w:tc>
        <w:tc>
          <w:tcPr/>
          <w:p>
            <w:pPr>
              <w:pStyle w:val="Compact"/>
            </w:pPr>
            <w:r>
              <w:t xml:space="preserve">Political marriages were the ancient diplomatic currency; multiplying wives = multiplying foreign alliances and, worse, foreign gods</w:t>
            </w:r>
          </w:p>
        </w:tc>
      </w:tr>
      <w:tr>
        <w:tc>
          <w:tcPr/>
          <w:p>
            <w:pPr>
              <w:pStyle w:val="Compact"/>
            </w:pPr>
            <w:r>
              <w:t xml:space="preserve">17b</w:t>
            </w:r>
          </w:p>
        </w:tc>
        <w:tc>
          <w:tcPr/>
          <w:p>
            <w:pPr>
              <w:pStyle w:val="Compact"/>
            </w:pPr>
            <w:r>
              <w:t xml:space="preserve">King must not acquire great silver and gold for himself</w:t>
            </w:r>
          </w:p>
        </w:tc>
        <w:tc>
          <w:tcPr/>
          <w:p>
            <w:pPr>
              <w:pStyle w:val="Compact"/>
            </w:pPr>
            <w:r>
              <w:t xml:space="preserve">Personal wealth accumulation is the third prohibition; the king serves Israel, he does not extract from it</w:t>
            </w:r>
          </w:p>
        </w:tc>
      </w:tr>
      <w:tr>
        <w:tc>
          <w:tcPr/>
          <w:p>
            <w:pPr>
              <w:pStyle w:val="Compact"/>
            </w:pPr>
            <w:r>
              <w:t xml:space="preserve">18–19</w:t>
            </w:r>
          </w:p>
        </w:tc>
        <w:tc>
          <w:tcPr/>
          <w:p>
            <w:pPr>
              <w:pStyle w:val="Compact"/>
            </w:pPr>
            <w:r>
              <w:t xml:space="preserve">King must write a copy of the law for himself, read it all the days of his life, learn to fear the LORD, and keep all the words of the law</w:t>
            </w:r>
          </w:p>
        </w:tc>
        <w:tc>
          <w:tcPr/>
          <w:p>
            <w:pPr>
              <w:pStyle w:val="Compact"/>
            </w:pPr>
            <w:r>
              <w:t xml:space="preserve">The spiritual discipline of the king: not just compliance but internalization; not occasional reading but lifelong formation</w:t>
            </w:r>
          </w:p>
        </w:tc>
      </w:tr>
      <w:tr>
        <w:tc>
          <w:tcPr/>
          <w:p>
            <w:pPr>
              <w:pStyle w:val="Compact"/>
            </w:pPr>
            <w:r>
              <w:t xml:space="preserve">20</w:t>
            </w:r>
          </w:p>
        </w:tc>
        <w:tc>
          <w:tcPr/>
          <w:p>
            <w:pPr>
              <w:pStyle w:val="Compact"/>
            </w:pPr>
            <w:r>
              <w:t xml:space="preserve">King must not lift his heart above his brothers or turn aside from the commandment — so that his reign may be long</w:t>
            </w:r>
          </w:p>
        </w:tc>
        <w:tc>
          <w:tcPr/>
          <w:p>
            <w:pPr>
              <w:pStyle w:val="Compact"/>
            </w:pPr>
            <w:r>
              <w:t xml:space="preserve">The purpose of the law is not constraint but longevity; humility under the Word is what makes a reign stable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w:t>
            </w:r>
          </w:p>
        </w:tc>
        <w:tc>
          <w:tcPr/>
          <w:p>
            <w:pPr>
              <w:pStyle w:val="Compact"/>
            </w:pPr>
            <w:r>
              <w:t xml:space="preserve">The Standard of Integrity: What Is Brought Before the LORD Must Be Whole</w:t>
            </w:r>
          </w:p>
        </w:tc>
      </w:tr>
      <w:tr>
        <w:tc>
          <w:tcPr/>
          <w:p>
            <w:pPr>
              <w:pStyle w:val="Compact"/>
            </w:pPr>
            <w:r>
              <w:t xml:space="preserve">2</w:t>
            </w:r>
          </w:p>
        </w:tc>
        <w:tc>
          <w:tcPr/>
          <w:p>
            <w:pPr>
              <w:pStyle w:val="Compact"/>
            </w:pPr>
            <w:r>
              <w:t xml:space="preserve">2–7</w:t>
            </w:r>
          </w:p>
        </w:tc>
        <w:tc>
          <w:tcPr/>
          <w:p>
            <w:pPr>
              <w:pStyle w:val="Compact"/>
            </w:pPr>
            <w:r>
              <w:t xml:space="preserve">The Standard of Justice: Idolatry Is Tried Carefully, Witnessed Honestly, and Executed Communally</w:t>
            </w:r>
          </w:p>
        </w:tc>
      </w:tr>
      <w:tr>
        <w:tc>
          <w:tcPr/>
          <w:p>
            <w:pPr>
              <w:pStyle w:val="Compact"/>
            </w:pPr>
            <w:r>
              <w:t xml:space="preserve">3</w:t>
            </w:r>
          </w:p>
        </w:tc>
        <w:tc>
          <w:tcPr/>
          <w:p>
            <w:pPr>
              <w:pStyle w:val="Compact"/>
            </w:pPr>
            <w:r>
              <w:t xml:space="preserve">8–13</w:t>
            </w:r>
          </w:p>
        </w:tc>
        <w:tc>
          <w:tcPr/>
          <w:p>
            <w:pPr>
              <w:pStyle w:val="Compact"/>
            </w:pPr>
            <w:r>
              <w:t xml:space="preserve">The Architecture of Authority: Difficult Cases Ascend to a Binding Central Tribunal</w:t>
            </w:r>
          </w:p>
        </w:tc>
      </w:tr>
      <w:tr>
        <w:tc>
          <w:tcPr/>
          <w:p>
            <w:pPr>
              <w:pStyle w:val="Compact"/>
            </w:pPr>
            <w:r>
              <w:t xml:space="preserve">4</w:t>
            </w:r>
          </w:p>
        </w:tc>
        <w:tc>
          <w:tcPr/>
          <w:p>
            <w:pPr>
              <w:pStyle w:val="Compact"/>
            </w:pPr>
            <w:r>
              <w:t xml:space="preserve">14–20</w:t>
            </w:r>
          </w:p>
        </w:tc>
        <w:tc>
          <w:tcPr/>
          <w:p>
            <w:pPr>
              <w:pStyle w:val="Compact"/>
            </w:pPr>
            <w:r>
              <w:t xml:space="preserve">The Law of the King: Power Is Not Autonomy — It Is Accountability to the Word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All authority in Israel is derivative, bounded, and answerable to the LORD alone.</w:t>
      </w:r>
    </w:p>
    <w:p>
      <w:pPr>
        <w:pStyle w:val="BodyText"/>
      </w:pPr>
      <w:r>
        <w:rPr>
          <w:b/>
          <w:bCs/>
        </w:rPr>
        <w:t xml:space="preserve">Primary Claim:</w:t>
      </w:r>
      <w:r>
        <w:t xml:space="preserve"> </w:t>
      </w:r>
      <w:r>
        <w:t xml:space="preserve">God is calling His people — and every leader among them — to structure all of life, all worship, and all governance under the authority of His Word, because no human institution, title, or power is ever the final word; He is.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rPr>
          <w:b/>
          <w:bCs/>
        </w:rPr>
        <w:t xml:space="preserve"> </w:t>
      </w:r>
      <w:r>
        <w:rPr>
          <w:b/>
          <w:bCs/>
          <w:i/>
          <w:iCs/>
        </w:rPr>
        <w:t xml:space="preserve">(Mind/Belief)</w:t>
      </w:r>
      <w:r>
        <w:rPr>
          <w:b/>
          <w:bCs/>
        </w:rPr>
        <w:t xml:space="preserve"> </w:t>
      </w:r>
      <w:r>
        <w:rPr>
          <w:b/>
          <w:bCs/>
        </w:rPr>
        <w:t xml:space="preserve">Recognize that every authority you hold is borrowed, not owned.</w:t>
      </w:r>
      <w:r>
        <w:t xml:space="preserve"> </w:t>
      </w:r>
      <w:r>
        <w:t xml:space="preserve">Deuteronomy 17 does not merely regulate the king — it makes a claim about the nature of power itself: no one holds authority as their own possession. The judge, the priest, the king — all are administrators of the LORD’s reign. If you hold any kind of authority — in your home, your workplace, your church, your community — you hold it on loan. The moment you begin to treat it as your own, you have started down the path Solomon walked. The question is not whether you have authority, but whether you are stearding it as the LORD’s or accumulating it as yours.</w:t>
      </w:r>
    </w:p>
    <w:p>
      <w:pPr>
        <w:pStyle w:val="BodyText"/>
      </w:pPr>
      <w:r>
        <w:rPr>
          <w:b/>
          <w:bCs/>
        </w:rPr>
        <w:t xml:space="preserve">2.</w:t>
      </w:r>
      <w:r>
        <w:rPr>
          <w:b/>
          <w:bCs/>
        </w:rPr>
        <w:t xml:space="preserve"> </w:t>
      </w:r>
      <w:r>
        <w:rPr>
          <w:b/>
          <w:bCs/>
          <w:i/>
          <w:iCs/>
        </w:rPr>
        <w:t xml:space="preserve">(Affections/Worship)</w:t>
      </w:r>
      <w:r>
        <w:rPr>
          <w:b/>
          <w:bCs/>
        </w:rPr>
        <w:t xml:space="preserve"> </w:t>
      </w:r>
      <w:r>
        <w:rPr>
          <w:b/>
          <w:bCs/>
        </w:rPr>
        <w:t xml:space="preserve">Let the blemished sacrifice prohibition reshape what you bring before God — not just in formal worship but in the whole of life.</w:t>
      </w:r>
      <w:r>
        <w:t xml:space="preserve"> </w:t>
      </w:r>
      <w:r>
        <w:t xml:space="preserve">Verse 1 is not a footnote — it is a key. The God who refuses the blemished animal is not being fastidious; He is insisting that what is offered to Him must be whole because He Himself is the standard of wholeness. When you bring half-attention to prayer, half-commitment to obedience, half-honesty to confession, you are offering a blemished sacrifice. The corrective is not greater effort but greater awe — a renewed recognition that the One before whom you stand is holy, and that He deserves your best, not your leftovers. Grieve the blemished offerings you have been bringing. The call here is to wholeness before God, which begins with honesty about how far short of it you fall.</w:t>
      </w:r>
    </w:p>
    <w:p>
      <w:pPr>
        <w:pStyle w:val="BodyText"/>
      </w:pPr>
      <w:r>
        <w:rPr>
          <w:b/>
          <w:bCs/>
        </w:rPr>
        <w:t xml:space="preserve">3.</w:t>
      </w:r>
      <w:r>
        <w:rPr>
          <w:b/>
          <w:bCs/>
        </w:rPr>
        <w:t xml:space="preserve"> </w:t>
      </w:r>
      <w:r>
        <w:rPr>
          <w:b/>
          <w:bCs/>
          <w:i/>
          <w:iCs/>
        </w:rPr>
        <w:t xml:space="preserve">(Will/Behavior)</w:t>
      </w:r>
      <w:r>
        <w:rPr>
          <w:b/>
          <w:bCs/>
        </w:rPr>
        <w:t xml:space="preserve"> </w:t>
      </w:r>
      <w:r>
        <w:rPr>
          <w:b/>
          <w:bCs/>
        </w:rPr>
        <w:t xml:space="preserve">Identify the specific</w:t>
      </w:r>
      <w:r>
        <w:rPr>
          <w:b/>
          <w:bCs/>
        </w:rPr>
        <w:t xml:space="preserve"> </w:t>
      </w:r>
      <w:r>
        <w:rPr>
          <w:b/>
          <w:bCs/>
        </w:rPr>
        <w:t xml:space="preserve">“horse, wife, or gold”</w:t>
      </w:r>
      <w:r>
        <w:rPr>
          <w:b/>
          <w:bCs/>
        </w:rPr>
        <w:t xml:space="preserve"> </w:t>
      </w:r>
      <w:r>
        <w:rPr>
          <w:b/>
          <w:bCs/>
        </w:rPr>
        <w:t xml:space="preserve">that you are accumulating as a substitute for trusting the LORD.</w:t>
      </w:r>
      <w:r>
        <w:t xml:space="preserve"> </w:t>
      </w:r>
      <w:r>
        <w:t xml:space="preserve">The three prohibited accumulations in verses 16–17 are not random — they map onto the three primary ways human beings seek security apart from God: military power (horses), relational-political alliance (wives), and material wealth (gold). You are not likely a monarch, but you have equivalents. What is the thing you are quietly building up — the financial buffer that has become an idol, the network of relationships you are cultivating for protection, the capability or credential you are accumulating to ensure your own safety? Name it specifically. Then ask whether your trust is in that thing or in the LORD who told Israel’s king to stop accumulating and start reading.</w:t>
      </w:r>
    </w:p>
    <w:p>
      <w:pPr>
        <w:pStyle w:val="BodyText"/>
      </w:pPr>
      <w:r>
        <w:rPr>
          <w:b/>
          <w:bCs/>
        </w:rPr>
        <w:t xml:space="preserve">4.</w:t>
      </w:r>
      <w:r>
        <w:rPr>
          <w:b/>
          <w:bCs/>
        </w:rPr>
        <w:t xml:space="preserve"> </w:t>
      </w:r>
      <w:r>
        <w:rPr>
          <w:b/>
          <w:bCs/>
          <w:i/>
          <w:iCs/>
        </w:rPr>
        <w:t xml:space="preserve">(Mind/Belief)</w:t>
      </w:r>
      <w:r>
        <w:rPr>
          <w:b/>
          <w:bCs/>
        </w:rPr>
        <w:t xml:space="preserve"> </w:t>
      </w:r>
      <w:r>
        <w:rPr>
          <w:b/>
          <w:bCs/>
        </w:rPr>
        <w:t xml:space="preserve">Understand that the law of the king in Deuteronomy 17 finds its only perfect fulfillment in Jesus Christ.</w:t>
      </w:r>
      <w:r>
        <w:t xml:space="preserve"> </w:t>
      </w:r>
      <w:r>
        <w:t xml:space="preserve">Every Israelite king failed this standard. David failed it. Solomon failed it catastrophically and completely. The entire history of Israel’s monarchy is a story of the law of the king being violated. This is not an accident — it is the testimony of Scripture that no human king can be the king Israel (and humanity) needs. Jesus is the king who did not multiply power but emptied Himself; who did not multiply political alliances but called His disciples brothers; who did not accumulate wealth but had nowhere to lay His head; and who internalized the Word of God so perfectly that when tempted at every point, He answered from it. Deuteronomy 17 is not merely a failure metric for Israel’s kings — it is the measuring rod that shows why the world needed a different kind of King entirely.</w:t>
      </w:r>
    </w:p>
    <w:p>
      <w:pPr>
        <w:pStyle w:val="BodyText"/>
      </w:pPr>
      <w:r>
        <w:rPr>
          <w:b/>
          <w:bCs/>
        </w:rPr>
        <w:t xml:space="preserve">5.</w:t>
      </w:r>
      <w:r>
        <w:rPr>
          <w:b/>
          <w:bCs/>
        </w:rPr>
        <w:t xml:space="preserve"> </w:t>
      </w:r>
      <w:r>
        <w:rPr>
          <w:b/>
          <w:bCs/>
          <w:i/>
          <w:iCs/>
        </w:rPr>
        <w:t xml:space="preserve">(Will/Behavior)</w:t>
      </w:r>
      <w:r>
        <w:rPr>
          <w:b/>
          <w:bCs/>
        </w:rPr>
        <w:t xml:space="preserve"> </w:t>
      </w:r>
      <w:r>
        <w:rPr>
          <w:b/>
          <w:bCs/>
        </w:rPr>
        <w:t xml:space="preserve">Build a daily practice of Word-engagement that mirrors the king’s self-copying and daily reading — because formation requires repetition, not occasional exposure.</w:t>
      </w:r>
      <w:r>
        <w:t xml:space="preserve"> </w:t>
      </w:r>
      <w:r>
        <w:t xml:space="preserve">The king was not told to consult the law when confused or to reference it in disputes. He was told to write it himself, keep it with him, and read it all the days of his life. The purpose was explicit:</w:t>
      </w:r>
      <w:r>
        <w:t xml:space="preserve"> </w:t>
      </w:r>
      <w:r>
        <w:t xml:space="preserve">“that he may learn to fear the LORD his God.”</w:t>
      </w:r>
      <w:r>
        <w:t xml:space="preserve"> </w:t>
      </w:r>
      <w:r>
        <w:t xml:space="preserve">Fear — the kind that produces humility and faithfulness — is a cultivated response, not a spontaneous one. It is formed by sustained, repeated, attentive engagement with who God is and what He has said. If you are reading Scripture only when you need an answer to a problem, you are not following the king’s discipline. You are using the law rather than being formed by it. The call is to daily reading not as information intake but as the ongoing formation of a person who fears the LORD.</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Deuteronomy 17 teaches that the LORD is not merely the source of Israel’s religion but the sovereign Governor of its entire institutional life — its worship, its judiciary, and its monarchy. Every authority structure in Israel is an extension of His reign, not a replacement for it. This establishes the theological principle that authority is always derivative: it originates in God, flows through designated human agents, and is bounded by His revealed Word. The passage also teaches that accountability to the Word is not a constraint on leadership but its proper condition — the king who reads, fears, and keeps the law will reign long, while the king who lifts his heart above his brothers and accumulates autonomous power will not. Deuteronomy 17 thus provides the theological architecture for evaluating all human governance: not by its effectiveness, popularity, or longevity, but by its accountability to the Word of the living God.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Deuteronomy 17 is one of the foundational texts for the Reformed understanding of the derivative and bounded nature of all authority — what Calvin and the Westminster tradition developed as the doctrine of God’s comprehensive sovereignty over all spheres of human life. The passage refuses the separation of religious life from civil and institutional life: the same God who governs the altar governs the courtroom and the throne. For the Reformed tradition, this grounds the conviction that Scripture speaks normatively to all of life, not merely to personal piety or ecclesiastical practice. The law of the king also anticipates the Christological fulfillment that is central to Reformed covenant theology: the entire succession of failed Israelite kings functions as a typological argument for the necessity of a perfect, obedient, Word-filled King who would not multiply for Himself but give Himself entirely. Jesus Christ is not merely an example of the ideal king Deuteronomy 17 envisions — He is the only One in whom its requirements are fully and permanently met, establishing a kingdom that cannot be shaken because its King is answerable to the Father alone and governs by the Word He perfectly embodies.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No human authority — not yours, not your leaders’, not the institutions you trust or the structures you depend on — is the final word. God is. Every leader is accountable to His Word; every institution is bounded by His covenant; every claim to power that does not flow from Him is a blemished offering He will not accept. The call is not cynicism about authority but humility before the One all authority serves: read His Word, fear Him, and govern — whether a household or a nation — as a person who knows they are answerable to a King above all kings.</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three sections as three unrelated topics rather than one unified claim.</w:t>
      </w:r>
      <w:r>
        <w:t xml:space="preserve"> </w:t>
      </w:r>
      <w:r>
        <w:t xml:space="preserve">The most common structural mistake in preaching Deuteronomy 17 is treating verse 1, the judicial law, and the law of the king as three separate sermons accidentally bound together. This misses the chapter’s unity. The thread running through all three sections is the same: the LORD governs everything, every authority is bounded by Him, and everything brought before Him must be whole. Preach the chapter as one claim, not three.</w:t>
      </w:r>
    </w:p>
    <w:p>
      <w:pPr>
        <w:numPr>
          <w:ilvl w:val="0"/>
          <w:numId w:val="1002"/>
        </w:numPr>
      </w:pPr>
      <w:r>
        <w:rPr>
          <w:b/>
          <w:bCs/>
        </w:rPr>
        <w:t xml:space="preserve">Reducing the law of the king to a political commentary on modern government.</w:t>
      </w:r>
      <w:r>
        <w:t xml:space="preserve"> </w:t>
      </w:r>
      <w:r>
        <w:t xml:space="preserve">It is tempting — especially in polarized cultural moments — to turn Deuteronomy 17:14–20 into a platform for commentary on contemporary politics, using the prohibited accumulations as obvious analogies for current politicians. This may generate immediate engagement, but it is not exposition — it is exploitation of the text. The passage is not primarily a critique of any particular political figure; it is a theological claim about the nature of all human authority and the necessity of Word-accountability in every leader. Diagnose the root before you apply the symptom.</w:t>
      </w:r>
    </w:p>
    <w:p>
      <w:pPr>
        <w:numPr>
          <w:ilvl w:val="0"/>
          <w:numId w:val="1002"/>
        </w:numPr>
      </w:pPr>
      <w:r>
        <w:rPr>
          <w:b/>
          <w:bCs/>
        </w:rPr>
        <w:t xml:space="preserve">Missing the Solomonic typology.</w:t>
      </w:r>
      <w:r>
        <w:t xml:space="preserve"> </w:t>
      </w:r>
      <w:r>
        <w:t xml:space="preserve">Preaching this passage without noting that Solomon violated every specific prohibition of verses 16–17 — horses (1 Kings 10:26), wives (1 Kings 11:3), gold (1 Kings 10:14–22) — is to preach it without its most obvious canonical commentary. The writer of Kings is using Deuteronomy 17 as an explicit measuring rod. If the congregation does not see this, they will not understand why Israel’s monarchy was doomed, or why a different King was needed.</w:t>
      </w:r>
    </w:p>
    <w:p>
      <w:pPr>
        <w:numPr>
          <w:ilvl w:val="0"/>
          <w:numId w:val="1002"/>
        </w:numPr>
      </w:pPr>
      <w:r>
        <w:rPr>
          <w:b/>
          <w:bCs/>
        </w:rPr>
        <w:t xml:space="preserve">Stopping short of the Christological fulfillment.</w:t>
      </w:r>
      <w:r>
        <w:t xml:space="preserve"> </w:t>
      </w:r>
      <w:r>
        <w:t xml:space="preserve">Deuteronomy 17 sets a standard that no Israelite king met. A sermon that ends with</w:t>
      </w:r>
      <w:r>
        <w:t xml:space="preserve"> </w:t>
      </w:r>
      <w:r>
        <w:t xml:space="preserve">“here is what faithful leadership looks like — go and do likewise”</w:t>
      </w:r>
      <w:r>
        <w:t xml:space="preserve"> </w:t>
      </w:r>
      <w:r>
        <w:t xml:space="preserve">has not finished the passage. It has made the law of the king into a moralism. The passage drives to Christ: He is the only King who kept this law perfectly, and His perfect obedience is both the ground of our forgiveness for our own failures of authority and the pattern for renewed leadership under grace. Preach the passage forward to its fulfillment, not backward into bare imperatives.</w:t>
      </w:r>
    </w:p>
    <w:p>
      <w:pPr>
        <w:numPr>
          <w:ilvl w:val="0"/>
          <w:numId w:val="1002"/>
        </w:numPr>
      </w:pPr>
      <w:r>
        <w:rPr>
          <w:b/>
          <w:bCs/>
        </w:rPr>
        <w:t xml:space="preserve">Treating the witness requirements in verses 6–7 as mere procedural law.</w:t>
      </w:r>
      <w:r>
        <w:t xml:space="preserve"> </w:t>
      </w:r>
      <w:r>
        <w:t xml:space="preserve">The requirement that witnesses cast the first stone is not a bureaucratic formality — it is a moral accountability structure. The one who testifies bears moral ownership of the outcome. This is a sophisticated insight about the nature of speech, testimony, and responsibility that has wide applicability — and it directly anticipates Jesus’ confrontation with the woman’s accusers in John 8, where He returns the same principle to the crowd. Do not let this feature of the passage go unremarked.</w:t>
      </w:r>
    </w:p>
    <w:p>
      <w:pPr>
        <w:numPr>
          <w:ilvl w:val="0"/>
          <w:numId w:val="1002"/>
        </w:numPr>
      </w:pPr>
      <w:r>
        <w:rPr>
          <w:b/>
          <w:bCs/>
        </w:rPr>
        <w:t xml:space="preserve">Applying the king’s Word-discipline only to formal</w:t>
      </w:r>
      <w:r>
        <w:rPr>
          <w:b/>
          <w:bCs/>
        </w:rPr>
        <w:t xml:space="preserve"> </w:t>
      </w:r>
      <w:r>
        <w:rPr>
          <w:b/>
          <w:bCs/>
        </w:rPr>
        <w:t xml:space="preserve">“devotional”</w:t>
      </w:r>
      <w:r>
        <w:rPr>
          <w:b/>
          <w:bCs/>
        </w:rPr>
        <w:t xml:space="preserve"> </w:t>
      </w:r>
      <w:r>
        <w:rPr>
          <w:b/>
          <w:bCs/>
        </w:rPr>
        <w:t xml:space="preserve">practices.</w:t>
      </w:r>
      <w:r>
        <w:t xml:space="preserve"> </w:t>
      </w:r>
      <w:r>
        <w:t xml:space="preserve">The king’s requirement to write, keep, and daily read the law is easily domesticated into a call for personal quiet time — which is not wrong, but it is smaller than the text intends. The king’s daily reading was formative for his governance, his relationships (not lifting his heart above his brothers), and his material choices (not accumulating wealth). The formation the Word was meant to produce was a whole life of humility and accountability, not a morning spiritual warm-up. Apply the discipline at the level of life-formation, not merely the level of a devotional habit.</w:t>
      </w:r>
    </w:p>
    <w:p>
      <w:r>
        <w:pict>
          <v:rect style="width:0;height:1.5pt" o:hralign="center" o:hrstd="t" o:hr="t"/>
        </w:pict>
      </w:r>
    </w:p>
    <w:p>
      <w:pPr>
        <w:pStyle w:val="FirstParagraph"/>
      </w:pPr>
      <w:r>
        <w:rPr>
          <w:i/>
          <w:iCs/>
        </w:rPr>
        <w:t xml:space="preserve">Document generated per CLAUDE2.md framework. File: 05 Deuteronomy 17.docx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2026-07-14T21:02:06Z</dcterms:created>
  <dcterms:modified xsi:type="dcterms:W3CDTF">2026-07-14T21:02:06Z</dcterms:modified>
</cp:coreProperties>
</file>

<file path=docProps/custom.xml><?xml version="1.0" encoding="utf-8"?>
<Properties xmlns="http://schemas.openxmlformats.org/officeDocument/2006/custom-properties" xmlns:vt="http://schemas.openxmlformats.org/officeDocument/2006/docPropsVTypes"/>
</file>